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60" w:lineRule="auto"/>
        <w:jc w:val="both"/>
        <w:rPr>
          <w:rFonts w:hint="eastAsia" w:ascii="黑体" w:hAnsi="黑体" w:eastAsia="黑体" w:cs="黑体"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</w:rPr>
        <w:t>附件</w:t>
      </w:r>
    </w:p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 w:cs="黑体"/>
          <w:w w:val="9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年度水利工程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乙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级质量检测单位“双随机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</w:rPr>
        <w:t>一公开”抽查结果表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val="en-US" w:eastAsia="zh-CN"/>
        </w:rPr>
        <w:t>第二批</w:t>
      </w:r>
      <w:r>
        <w:rPr>
          <w:rFonts w:hint="eastAsia" w:ascii="黑体" w:hAnsi="黑体" w:eastAsia="黑体" w:cs="黑体"/>
          <w:color w:val="auto"/>
          <w:w w:val="90"/>
          <w:sz w:val="36"/>
          <w:szCs w:val="36"/>
          <w:lang w:eastAsia="zh-CN"/>
        </w:rPr>
        <w:t>）</w:t>
      </w:r>
    </w:p>
    <w:tbl>
      <w:tblPr>
        <w:tblStyle w:val="6"/>
        <w:tblW w:w="15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57"/>
        <w:gridCol w:w="5387"/>
        <w:gridCol w:w="3193"/>
        <w:gridCol w:w="4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kern w:val="0"/>
                <w:sz w:val="28"/>
                <w:szCs w:val="28"/>
              </w:rPr>
              <w:t>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  <w:t>阿勒泰地区鑫河工程检测有限公司</w:t>
            </w:r>
          </w:p>
        </w:tc>
        <w:tc>
          <w:tcPr>
            <w:tcW w:w="53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8" w:leftChars="0" w:right="17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1.编号20240004《砂砾石填筑检测报告》检测项目信息栏缺设计指标，记录不完整；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8" w:leftChars="0" w:right="17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2.编号20240004《卵石检测报告》中超逊径含量用筛未标注是原状筛还是超逊径筛；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8" w:leftChars="0" w:right="17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3.编号20240004《普通硅酸盐水泥检测报告》原始中标准粘稠度用水量记录数据不全。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1.不符合《检验检测机构资质认定评审准则》中2.12.6-38 检验检测体系文件包含检验检测报告的固定格式。报告应当客观真实、方法有效、数据完整、信息齐全、结论明确、表述清晰、使用法定计量单位并符合检验检测方法的规定；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2.不符合SL677-2014《水工混凝土施工规范》5.3.6第3条要求；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3.不符合DB/T《水泥标准稠度用水量 凝结时间 安定性检验方法》10.3.3要求。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新疆德广众合质检技术服务有限公司</w:t>
            </w:r>
          </w:p>
        </w:tc>
        <w:tc>
          <w:tcPr>
            <w:tcW w:w="53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1.环保型水泥细度负压筛析仪未按GB/T1345-2005中“筛析仪负压可调范围4000～6000Pa”进行校准点的选择进行校准工作；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2.DG2024WTA023010检测报告表观密度未注明是否去皮，抗拉强度、延伸率报出值未报中值，原始记录中抗拉强度未描述拉伸速率，不符合GB/T 6343-2009、GB/T6344-2008标准要求；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3.DG2024WTA023002检测报告不规范，记录不完整。</w:t>
            </w:r>
          </w:p>
        </w:tc>
        <w:tc>
          <w:tcPr>
            <w:tcW w:w="31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1.不符合《检验检测机构资质认定评审准则》中第十一条（二）中校准的要求；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2.不符合《检验检测机构资质认定评审准则》中第十一条（二）中校准的要求；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3.不符合《水利工程质量检测技术规程》SL734-2016附录D水利工程质量检测报告的基本要求D.0.1.10。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  <w:t>新疆宏滙建筑建材检测有限公司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1.粗骨料物理性能检验报告20230003512检测报告不规范，未用水利规范出具检测报告；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2.混凝土抗渗性能检测报告20230003522检测报告不规范，质量指标不符合要求。</w:t>
            </w:r>
          </w:p>
        </w:tc>
        <w:tc>
          <w:tcPr>
            <w:tcW w:w="31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1.不符合SL677-2014《水工混凝土试验规程》 11.2.8.6拌和楼砂石骨料按表5.3.5、表5.3.6-1和表5.3.6-2列项目，应每月进行1次检验要求；</w:t>
            </w:r>
          </w:p>
          <w:p>
            <w:pPr>
              <w:widowControl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2.不符合SL/T 352-2020《水工混凝土试验规程》中5.22.4条若至规定水压力，表面渗水的试件不超过两个，则混凝土的抗渗等级大于设计抗渗等级。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新疆永诚信工程检测有限公司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1.电子天平YP50001（管理编号YCXSB019）,设备准确度等级Ⅲ级，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质量指标不符合要求；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2.微机控制电液伺服液压万能试验机WAW-300D（YCXSB001-1）所出具的校准证书缺少第三方认证标识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3.现场原位密度（环刀法）检测报告XCY2024XGZYS-YS001检测报告中最大干密度值和最优含水率值在报告中未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做击实试验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YCX2024YDSGC-K001检测报告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中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涂塑钢管规格型号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书写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错误、涂料涂层厚度检测未注明涂层材料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31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2.整改不到位或逾期未整改的，记入水利建设市场监管平台不良行为记录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不符合SL/T352-2020《水工混凝土试验规程》中1总则1.0.5应按照需称量的物料质量、规定的分度值选择合适的天平或秤，分析天平的准确度等级不应低于Ⅰ级，天平的准确度等级不应低于Ⅱ级，秤的准确度等级不应低于Ⅲ级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2.不符合《检验检测机构资质认定评审准则》中第十一条（一）中应当配备符合开展检验检测（包括抽样、样品制备、数据处理与分析等）工作要求的设备和设施的要求；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3.不符合《检验检测机构资质认定评审准则》中第十二条（六）中检验检测机构出具的检验检测报告应当客观真实、信息齐全、数据完整的要求；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不符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合</w:t>
            </w:r>
            <w:r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CJ/T120-2016《给水涂塑复合钢管》标准要求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昌吉市天筑检测有限责任公司</w:t>
            </w:r>
          </w:p>
        </w:tc>
        <w:tc>
          <w:tcPr>
            <w:tcW w:w="5387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1.技术负责人不在检查现场，5名检测人员不在检查现场；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2.YP50001型电子天平（编号：202300）未贴确认后仪器设备状态标识。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2.整改期限内不得承接新的检测业务；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3.逾期未完成整改注销资质</w:t>
            </w:r>
            <w:r>
              <w:rPr>
                <w:rFonts w:hint="eastAsia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1.不符合《水利部关于发布水利工程质量检测单位资质等级标准的公告》；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2.不符合《检验检测机构资质认定评审准则》中2.11设备设施2.11.2检定、校准和核查23）计量确认、标识、溯源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新疆慧泽工程质量检测有限公司</w:t>
            </w:r>
          </w:p>
        </w:tc>
        <w:tc>
          <w:tcPr>
            <w:tcW w:w="5387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1.岩土工程类缺少仪器：细粒土变水头仪器、渗透临界坡降变形仪、单桩承载力使用的静荷载测试仪、岩石弹性模量测定仪；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2.混凝土工程类缺少仪器：量水器；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3.8名检测人员不在现场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1.限期整改，期限一个月；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2.整改期限内不得承接新的检测业务；</w:t>
            </w:r>
          </w:p>
          <w:p>
            <w:pPr>
              <w:widowControl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3.逾期未完成整改注销资质</w:t>
            </w:r>
            <w:r>
              <w:rPr>
                <w:rFonts w:hint="eastAsia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482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1.不符合《检验检测机构资质认定管理办法》（质检总局令第163号）第九条第（四）项；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2.不符合《检验检测机构资质认定管理办法》（质检总局令第163号）第九条第（四）项；</w:t>
            </w:r>
          </w:p>
          <w:p>
            <w:pPr>
              <w:widowControl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 w:bidi="ar-SA"/>
              </w:rPr>
              <w:t>3.不符合《水利部关于发布水利工程质量检测单位资质等级标准的公告》。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01D5"/>
    <w:rsid w:val="00C83F61"/>
    <w:rsid w:val="01EC3885"/>
    <w:rsid w:val="0303388A"/>
    <w:rsid w:val="03267A78"/>
    <w:rsid w:val="07E478B7"/>
    <w:rsid w:val="087A19F6"/>
    <w:rsid w:val="08C32CA7"/>
    <w:rsid w:val="08FC2B5B"/>
    <w:rsid w:val="0D861F40"/>
    <w:rsid w:val="0DCB4409"/>
    <w:rsid w:val="0E2462DF"/>
    <w:rsid w:val="0E392771"/>
    <w:rsid w:val="0F24796F"/>
    <w:rsid w:val="0FD96AF5"/>
    <w:rsid w:val="13BA4304"/>
    <w:rsid w:val="15DC7A52"/>
    <w:rsid w:val="170950CE"/>
    <w:rsid w:val="19461B38"/>
    <w:rsid w:val="1B4D46AE"/>
    <w:rsid w:val="1B534DAB"/>
    <w:rsid w:val="1CD818B7"/>
    <w:rsid w:val="1D69603C"/>
    <w:rsid w:val="1FA635F4"/>
    <w:rsid w:val="202905D3"/>
    <w:rsid w:val="22E5574F"/>
    <w:rsid w:val="23456268"/>
    <w:rsid w:val="23480900"/>
    <w:rsid w:val="24706427"/>
    <w:rsid w:val="25466165"/>
    <w:rsid w:val="255B2EE7"/>
    <w:rsid w:val="27654997"/>
    <w:rsid w:val="288414CA"/>
    <w:rsid w:val="28A718C1"/>
    <w:rsid w:val="2B897D81"/>
    <w:rsid w:val="2C827B41"/>
    <w:rsid w:val="2CCB1D39"/>
    <w:rsid w:val="2CDD0FF2"/>
    <w:rsid w:val="2DB70C81"/>
    <w:rsid w:val="2F7204D7"/>
    <w:rsid w:val="31FB40BB"/>
    <w:rsid w:val="324F28B7"/>
    <w:rsid w:val="33C00CA4"/>
    <w:rsid w:val="33F95FC9"/>
    <w:rsid w:val="34664163"/>
    <w:rsid w:val="36830F4B"/>
    <w:rsid w:val="36F7288C"/>
    <w:rsid w:val="3754310C"/>
    <w:rsid w:val="3CAD07EA"/>
    <w:rsid w:val="3CF2238C"/>
    <w:rsid w:val="3D504FDC"/>
    <w:rsid w:val="42C00BBD"/>
    <w:rsid w:val="454911E4"/>
    <w:rsid w:val="48D67102"/>
    <w:rsid w:val="494D7915"/>
    <w:rsid w:val="4B905F2C"/>
    <w:rsid w:val="4CE06500"/>
    <w:rsid w:val="4D423F31"/>
    <w:rsid w:val="4E6860E0"/>
    <w:rsid w:val="4E714735"/>
    <w:rsid w:val="4F6B62CE"/>
    <w:rsid w:val="50AC01D5"/>
    <w:rsid w:val="53175BDF"/>
    <w:rsid w:val="54506C66"/>
    <w:rsid w:val="59103EDA"/>
    <w:rsid w:val="59AF2530"/>
    <w:rsid w:val="5ADA7FF4"/>
    <w:rsid w:val="5B222411"/>
    <w:rsid w:val="603451B2"/>
    <w:rsid w:val="60EC5AA8"/>
    <w:rsid w:val="61130ABE"/>
    <w:rsid w:val="62781121"/>
    <w:rsid w:val="63B340D4"/>
    <w:rsid w:val="63C93B8A"/>
    <w:rsid w:val="667B59DA"/>
    <w:rsid w:val="69E146DA"/>
    <w:rsid w:val="69FB13EF"/>
    <w:rsid w:val="6D9B6BCE"/>
    <w:rsid w:val="6DD80737"/>
    <w:rsid w:val="715425E1"/>
    <w:rsid w:val="723327E1"/>
    <w:rsid w:val="72E5220E"/>
    <w:rsid w:val="749A5D92"/>
    <w:rsid w:val="76BB142C"/>
    <w:rsid w:val="774327D0"/>
    <w:rsid w:val="795C47C9"/>
    <w:rsid w:val="79BA07B4"/>
    <w:rsid w:val="7AF639DE"/>
    <w:rsid w:val="7B68390F"/>
    <w:rsid w:val="7BEF3E78"/>
    <w:rsid w:val="7D9C3246"/>
    <w:rsid w:val="7DFE364C"/>
    <w:rsid w:val="7E2D7213"/>
    <w:rsid w:val="7E8B0073"/>
    <w:rsid w:val="7FAE67B7"/>
    <w:rsid w:val="7FED1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20" w:lineRule="exact"/>
      <w:ind w:firstLine="1120"/>
      <w:outlineLvl w:val="2"/>
    </w:pPr>
    <w:rPr>
      <w:rFonts w:ascii="仿宋_GB2312" w:hAnsi="仿宋_GB2312" w:eastAsia="仿宋_GB2312" w:cs="仿宋_GB2312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2020-10-22T08:03:00Z</dcterms:created>
  <dc:creator>杨柳</dc:creator>
  <cp:lastModifiedBy>刘绍国</cp:lastModifiedBy>
  <cp:lastPrinted>2024-08-13T04:12:00Z</cp:lastPrinted>
  <dcterms:modified xsi:type="dcterms:W3CDTF">2024-08-19T14:02:31Z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AAF81BA21A53466F8625FCCBF52008CD</vt:lpwstr>
  </property>
</Properties>
</file>